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overflowPunct w:val="0"/>
        <w:spacing w:beforeLines="0" w:afterLines="0" w:line="428" w:lineRule="exact"/>
        <w:jc w:val="center"/>
        <w:rPr>
          <w:rFonts w:hint="eastAsia"/>
          <w:sz w:val="32"/>
          <w:szCs w:val="32"/>
          <w:lang w:eastAsia="zh-CN"/>
        </w:rPr>
      </w:pPr>
      <w:r>
        <w:rPr>
          <w:rFonts w:hint="eastAsia"/>
          <w:sz w:val="32"/>
          <w:szCs w:val="32"/>
          <w:lang w:eastAsia="zh-CN"/>
        </w:rPr>
        <w:t>学分学费核查及收费的补充说明</w:t>
      </w:r>
    </w:p>
    <w:p>
      <w:pPr>
        <w:widowControl w:val="0"/>
        <w:wordWrap/>
        <w:overflowPunct w:val="0"/>
        <w:adjustRightInd/>
        <w:snapToGrid/>
        <w:spacing w:line="288" w:lineRule="auto"/>
        <w:ind w:left="0" w:leftChars="0" w:right="0" w:firstLine="420" w:firstLineChars="200"/>
        <w:textAlignment w:val="auto"/>
        <w:outlineLvl w:val="9"/>
        <w:rPr>
          <w:rFonts w:hint="eastAsia"/>
          <w:lang w:eastAsia="zh-CN"/>
        </w:rPr>
      </w:pPr>
      <w:r>
        <w:rPr>
          <w:rFonts w:hint="eastAsia"/>
          <w:lang w:eastAsia="zh-CN"/>
        </w:rPr>
        <w:t>在学分学费核查过程中，部分同学对应补交学分学费不理解，对计算方式有疑问，针对</w:t>
      </w:r>
      <w:r>
        <w:rPr>
          <w:rFonts w:hint="eastAsia"/>
          <w:lang w:val="en-US" w:eastAsia="zh-CN"/>
        </w:rPr>
        <w:t>4月14日学分学费核对过程的热点问题，特补充说明如下：</w:t>
      </w:r>
    </w:p>
    <w:p>
      <w:pPr>
        <w:widowControl w:val="0"/>
        <w:wordWrap/>
        <w:overflowPunct w:val="0"/>
        <w:adjustRightInd/>
        <w:snapToGrid/>
        <w:spacing w:line="288" w:lineRule="auto"/>
        <w:ind w:left="0" w:leftChars="0" w:right="0" w:firstLine="420" w:firstLineChars="200"/>
        <w:textAlignment w:val="auto"/>
        <w:outlineLvl w:val="9"/>
        <w:rPr>
          <w:rFonts w:hint="eastAsia" w:ascii="宋体" w:hAnsi="宋体"/>
          <w:sz w:val="24"/>
          <w:lang w:val="en-US" w:eastAsia="zh-CN"/>
        </w:rPr>
      </w:pPr>
      <w:r>
        <w:rPr>
          <w:rFonts w:hint="eastAsia" w:ascii="宋体" w:hAnsi="宋体"/>
          <w:sz w:val="24"/>
          <w:lang w:val="en-US" w:eastAsia="zh-CN"/>
        </w:rPr>
        <w:t xml:space="preserve">一、基本规则 </w:t>
      </w:r>
    </w:p>
    <w:p>
      <w:pPr>
        <w:widowControl w:val="0"/>
        <w:wordWrap/>
        <w:overflowPunct w:val="0"/>
        <w:adjustRightInd/>
        <w:snapToGrid/>
        <w:spacing w:line="288" w:lineRule="auto"/>
        <w:ind w:left="0" w:leftChars="0" w:right="0" w:firstLine="420" w:firstLineChars="200"/>
        <w:textAlignment w:val="auto"/>
        <w:outlineLvl w:val="9"/>
        <w:rPr>
          <w:rFonts w:hint="eastAsia" w:ascii="宋体" w:hAnsi="宋体"/>
          <w:sz w:val="24"/>
          <w:lang w:eastAsia="zh-CN"/>
        </w:rPr>
      </w:pPr>
      <w:r>
        <w:rPr>
          <w:rFonts w:hint="eastAsia" w:ascii="宋体" w:hAnsi="宋体"/>
          <w:sz w:val="24"/>
          <w:lang w:eastAsia="zh-CN"/>
        </w:rPr>
        <w:t>每学年预交</w:t>
      </w:r>
      <w:r>
        <w:rPr>
          <w:rFonts w:hint="eastAsia" w:ascii="宋体" w:hAnsi="宋体"/>
          <w:sz w:val="24"/>
        </w:rPr>
        <w:t>学费</w:t>
      </w:r>
      <w:r>
        <w:rPr>
          <w:rFonts w:hint="eastAsia" w:ascii="宋体" w:hAnsi="宋体"/>
          <w:sz w:val="24"/>
          <w:lang w:eastAsia="zh-CN"/>
        </w:rPr>
        <w:t>分为</w:t>
      </w:r>
      <w:r>
        <w:rPr>
          <w:rFonts w:hint="eastAsia" w:ascii="宋体" w:hAnsi="宋体"/>
          <w:sz w:val="24"/>
        </w:rPr>
        <w:t>学分学费和专业学费两部分</w:t>
      </w:r>
      <w:r>
        <w:rPr>
          <w:rFonts w:hint="eastAsia" w:ascii="宋体" w:hAnsi="宋体"/>
          <w:sz w:val="24"/>
          <w:lang w:eastAsia="zh-CN"/>
        </w:rPr>
        <w:t>。</w:t>
      </w:r>
      <w:r>
        <w:rPr>
          <w:rFonts w:hint="eastAsia" w:ascii="宋体" w:hAnsi="宋体"/>
          <w:sz w:val="24"/>
        </w:rPr>
        <w:t>学生在规定年限内按培养方案规定的最低毕业学分正常完成学业的</w:t>
      </w:r>
      <w:r>
        <w:rPr>
          <w:rFonts w:hint="eastAsia" w:ascii="MS PGothic" w:hAnsi="MS PGothic" w:eastAsia="MS PGothic"/>
          <w:sz w:val="24"/>
        </w:rPr>
        <w:t>，</w:t>
      </w:r>
      <w:r>
        <w:rPr>
          <w:rFonts w:hint="eastAsia" w:ascii="宋体" w:hAnsi="宋体"/>
          <w:sz w:val="24"/>
        </w:rPr>
        <w:t>所缴纳的专业学费、学分学费之和不高于</w:t>
      </w:r>
      <w:r>
        <w:rPr>
          <w:rFonts w:hint="eastAsia" w:ascii="宋体" w:hAnsi="宋体"/>
          <w:sz w:val="24"/>
          <w:lang w:eastAsia="zh-CN"/>
        </w:rPr>
        <w:t>学年预交</w:t>
      </w:r>
      <w:r>
        <w:rPr>
          <w:rFonts w:hint="eastAsia" w:ascii="宋体" w:hAnsi="宋体"/>
          <w:sz w:val="24"/>
        </w:rPr>
        <w:t>学费总额。</w:t>
      </w:r>
    </w:p>
    <w:p>
      <w:pPr>
        <w:widowControl w:val="0"/>
        <w:wordWrap/>
        <w:overflowPunct w:val="0"/>
        <w:adjustRightInd/>
        <w:snapToGrid/>
        <w:spacing w:line="288" w:lineRule="auto"/>
        <w:ind w:left="0" w:leftChars="0" w:right="0" w:firstLine="420" w:firstLineChars="200"/>
        <w:textAlignment w:val="auto"/>
        <w:outlineLvl w:val="9"/>
        <w:rPr>
          <w:rFonts w:hint="eastAsia" w:ascii="宋体" w:hAnsi="宋体"/>
          <w:sz w:val="24"/>
          <w:lang w:eastAsia="zh-CN"/>
        </w:rPr>
      </w:pPr>
      <w:r>
        <w:rPr>
          <w:rFonts w:hint="eastAsia" w:ascii="宋体" w:hAnsi="宋体"/>
          <w:sz w:val="24"/>
          <w:lang w:eastAsia="zh-CN"/>
        </w:rPr>
        <w:t>学分学费：</w:t>
      </w:r>
      <w:r>
        <w:rPr>
          <w:rFonts w:hint="eastAsia" w:ascii="宋体" w:hAnsi="宋体"/>
          <w:sz w:val="24"/>
          <w:lang w:val="en-US" w:eastAsia="zh-CN"/>
        </w:rPr>
        <w:t>每学年按平均学分数即40学分/学年（按四年制160学分、五年制200学分计算）预交学分学费。按1学分80元计，每学年预收学分学费3200元。</w:t>
      </w:r>
    </w:p>
    <w:p>
      <w:pPr>
        <w:widowControl w:val="0"/>
        <w:wordWrap/>
        <w:adjustRightInd/>
        <w:snapToGrid/>
        <w:spacing w:line="288" w:lineRule="auto"/>
        <w:ind w:left="0" w:leftChars="0" w:right="0" w:firstLine="420" w:firstLineChars="200"/>
        <w:jc w:val="left"/>
        <w:textAlignment w:val="auto"/>
        <w:outlineLvl w:val="9"/>
        <w:rPr>
          <w:rFonts w:hint="eastAsia" w:ascii="宋体" w:hAnsi="宋体"/>
          <w:sz w:val="24"/>
          <w:lang w:eastAsia="zh-CN"/>
        </w:rPr>
      </w:pPr>
      <w:r>
        <w:rPr>
          <w:rFonts w:hint="eastAsia" w:ascii="宋体" w:hAnsi="宋体"/>
          <w:sz w:val="24"/>
          <w:lang w:eastAsia="zh-CN"/>
        </w:rPr>
        <w:t>专业学费：专业不同，专业学费不同。我校</w:t>
      </w:r>
      <w:r>
        <w:rPr>
          <w:rFonts w:hint="eastAsia" w:ascii="宋体" w:hAnsi="宋体"/>
          <w:sz w:val="24"/>
          <w:lang w:val="en-US" w:eastAsia="zh-CN"/>
        </w:rPr>
        <w:t>2010级——2013级专业学费、学分学费对应情况</w:t>
      </w:r>
      <w:r>
        <w:rPr>
          <w:rFonts w:hint="eastAsia" w:ascii="宋体" w:hAnsi="宋体"/>
          <w:sz w:val="24"/>
          <w:lang w:eastAsia="zh-CN"/>
        </w:rPr>
        <w:t>如下表所示：</w:t>
      </w:r>
    </w:p>
    <w:tbl>
      <w:tblPr>
        <w:tblStyle w:val="5"/>
        <w:tblW w:w="8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95"/>
        <w:gridCol w:w="1050"/>
        <w:gridCol w:w="1095"/>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top"/>
          </w:tcPr>
          <w:p>
            <w:pPr>
              <w:spacing w:beforeLines="0" w:afterLines="0"/>
              <w:jc w:val="left"/>
              <w:rPr>
                <w:rFonts w:hint="eastAsia" w:ascii="宋体" w:hAnsi="宋体"/>
                <w:sz w:val="24"/>
                <w:lang w:eastAsia="zh-CN"/>
              </w:rPr>
            </w:pPr>
            <w:r>
              <w:rPr>
                <w:rFonts w:hint="eastAsia" w:ascii="宋体" w:hAnsi="宋体"/>
                <w:sz w:val="24"/>
                <w:lang w:eastAsia="zh-CN"/>
              </w:rPr>
              <w:t>序号</w:t>
            </w:r>
          </w:p>
        </w:tc>
        <w:tc>
          <w:tcPr>
            <w:tcW w:w="1095" w:type="dxa"/>
            <w:vAlign w:val="top"/>
          </w:tcPr>
          <w:p>
            <w:pPr>
              <w:spacing w:beforeLines="0" w:afterLines="0"/>
              <w:jc w:val="left"/>
              <w:rPr>
                <w:rFonts w:hint="eastAsia" w:ascii="宋体" w:hAnsi="宋体"/>
                <w:sz w:val="24"/>
                <w:lang w:eastAsia="zh-CN"/>
              </w:rPr>
            </w:pPr>
            <w:r>
              <w:rPr>
                <w:rFonts w:hint="eastAsia" w:ascii="宋体" w:hAnsi="宋体"/>
                <w:sz w:val="24"/>
                <w:lang w:eastAsia="zh-CN"/>
              </w:rPr>
              <w:t>学年预交学费</w:t>
            </w:r>
          </w:p>
        </w:tc>
        <w:tc>
          <w:tcPr>
            <w:tcW w:w="1050" w:type="dxa"/>
            <w:vAlign w:val="top"/>
          </w:tcPr>
          <w:p>
            <w:pPr>
              <w:spacing w:beforeLines="0" w:afterLines="0"/>
              <w:jc w:val="left"/>
              <w:rPr>
                <w:rFonts w:hint="eastAsia" w:ascii="宋体" w:hAnsi="宋体"/>
                <w:sz w:val="24"/>
                <w:lang w:eastAsia="zh-CN"/>
              </w:rPr>
            </w:pPr>
            <w:r>
              <w:rPr>
                <w:rFonts w:hint="eastAsia" w:ascii="宋体" w:hAnsi="宋体"/>
                <w:sz w:val="24"/>
                <w:lang w:eastAsia="zh-CN"/>
              </w:rPr>
              <w:t>预交专业学费</w:t>
            </w:r>
          </w:p>
        </w:tc>
        <w:tc>
          <w:tcPr>
            <w:tcW w:w="1095" w:type="dxa"/>
            <w:vAlign w:val="top"/>
          </w:tcPr>
          <w:p>
            <w:pPr>
              <w:spacing w:beforeLines="0" w:afterLines="0"/>
              <w:jc w:val="left"/>
              <w:rPr>
                <w:rFonts w:hint="eastAsia" w:ascii="宋体" w:hAnsi="宋体"/>
                <w:sz w:val="24"/>
                <w:lang w:eastAsia="zh-CN"/>
              </w:rPr>
            </w:pPr>
            <w:r>
              <w:rPr>
                <w:rFonts w:hint="eastAsia" w:ascii="宋体" w:hAnsi="宋体"/>
                <w:sz w:val="24"/>
                <w:lang w:eastAsia="zh-CN"/>
              </w:rPr>
              <w:t>预交学分学费</w:t>
            </w:r>
          </w:p>
        </w:tc>
        <w:tc>
          <w:tcPr>
            <w:tcW w:w="4535" w:type="dxa"/>
            <w:vAlign w:val="top"/>
          </w:tcPr>
          <w:p>
            <w:pPr>
              <w:spacing w:beforeLines="0" w:afterLines="0"/>
              <w:jc w:val="left"/>
              <w:rPr>
                <w:rFonts w:hint="eastAsia" w:ascii="宋体" w:hAnsi="宋体"/>
                <w:sz w:val="24"/>
                <w:lang w:eastAsia="zh-CN"/>
              </w:rPr>
            </w:pPr>
            <w:r>
              <w:rPr>
                <w:rFonts w:hint="eastAsia" w:ascii="宋体" w:hAnsi="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1</w:t>
            </w:r>
          </w:p>
        </w:tc>
        <w:tc>
          <w:tcPr>
            <w:tcW w:w="1095"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2500元</w:t>
            </w:r>
          </w:p>
        </w:tc>
        <w:tc>
          <w:tcPr>
            <w:tcW w:w="1050"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0元</w:t>
            </w:r>
          </w:p>
        </w:tc>
        <w:tc>
          <w:tcPr>
            <w:tcW w:w="1095"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3200元</w:t>
            </w:r>
          </w:p>
        </w:tc>
        <w:tc>
          <w:tcPr>
            <w:tcW w:w="4535" w:type="dxa"/>
            <w:vAlign w:val="top"/>
          </w:tcPr>
          <w:p>
            <w:pPr>
              <w:spacing w:beforeLines="0" w:afterLines="0"/>
              <w:jc w:val="left"/>
              <w:rPr>
                <w:rFonts w:hint="eastAsia" w:ascii="宋体" w:hAnsi="宋体"/>
                <w:sz w:val="24"/>
                <w:lang w:eastAsia="zh-CN"/>
              </w:rPr>
            </w:pPr>
            <w:r>
              <w:rPr>
                <w:rFonts w:hint="eastAsia" w:ascii="宋体" w:hAnsi="宋体"/>
                <w:sz w:val="24"/>
                <w:lang w:eastAsia="zh-CN"/>
              </w:rPr>
              <w:t>农学类专业学年预交学费为</w:t>
            </w:r>
            <w:r>
              <w:rPr>
                <w:rFonts w:hint="eastAsia" w:ascii="宋体" w:hAnsi="宋体"/>
                <w:sz w:val="24"/>
                <w:lang w:val="en-US" w:eastAsia="zh-CN"/>
              </w:rPr>
              <w:t>2500元，与预交学分学费的差额700元由学校补贴。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2</w:t>
            </w:r>
          </w:p>
        </w:tc>
        <w:tc>
          <w:tcPr>
            <w:tcW w:w="1095"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4600元</w:t>
            </w:r>
          </w:p>
        </w:tc>
        <w:tc>
          <w:tcPr>
            <w:tcW w:w="1050"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1400元</w:t>
            </w:r>
          </w:p>
        </w:tc>
        <w:tc>
          <w:tcPr>
            <w:tcW w:w="1095"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3200元</w:t>
            </w:r>
          </w:p>
        </w:tc>
        <w:tc>
          <w:tcPr>
            <w:tcW w:w="4535" w:type="dxa"/>
            <w:vAlign w:val="top"/>
          </w:tcPr>
          <w:p>
            <w:pPr>
              <w:spacing w:beforeLines="0" w:afterLines="0"/>
              <w:jc w:val="left"/>
              <w:rPr>
                <w:rFonts w:hint="eastAsia"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3</w:t>
            </w:r>
          </w:p>
        </w:tc>
        <w:tc>
          <w:tcPr>
            <w:tcW w:w="1095"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6800元</w:t>
            </w:r>
          </w:p>
        </w:tc>
        <w:tc>
          <w:tcPr>
            <w:tcW w:w="1050"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3600元</w:t>
            </w:r>
          </w:p>
        </w:tc>
        <w:tc>
          <w:tcPr>
            <w:tcW w:w="1095" w:type="dxa"/>
            <w:vAlign w:val="top"/>
          </w:tcPr>
          <w:p>
            <w:pPr>
              <w:spacing w:beforeLines="0" w:afterLines="0"/>
              <w:jc w:val="left"/>
              <w:rPr>
                <w:rFonts w:hint="eastAsia" w:ascii="宋体" w:hAnsi="宋体"/>
                <w:sz w:val="24"/>
                <w:lang w:val="en-US" w:eastAsia="zh-CN"/>
              </w:rPr>
            </w:pPr>
            <w:r>
              <w:rPr>
                <w:rFonts w:hint="eastAsia" w:ascii="宋体" w:hAnsi="宋体"/>
                <w:sz w:val="24"/>
                <w:lang w:val="en-US" w:eastAsia="zh-CN"/>
              </w:rPr>
              <w:t>3200元</w:t>
            </w:r>
          </w:p>
        </w:tc>
        <w:tc>
          <w:tcPr>
            <w:tcW w:w="4535" w:type="dxa"/>
            <w:vAlign w:val="top"/>
          </w:tcPr>
          <w:p>
            <w:pPr>
              <w:spacing w:beforeLines="0" w:afterLines="0"/>
              <w:jc w:val="left"/>
              <w:rPr>
                <w:rFonts w:hint="eastAsia" w:ascii="宋体" w:hAnsi="宋体"/>
                <w:sz w:val="24"/>
                <w:lang w:eastAsia="zh-CN"/>
              </w:rPr>
            </w:pPr>
          </w:p>
        </w:tc>
      </w:tr>
    </w:tbl>
    <w:p>
      <w:pPr>
        <w:widowControl w:val="0"/>
        <w:wordWrap/>
        <w:adjustRightInd/>
        <w:snapToGrid/>
        <w:spacing w:line="288" w:lineRule="auto"/>
        <w:ind w:left="0" w:leftChars="0" w:right="0" w:firstLine="480" w:firstLineChars="200"/>
        <w:jc w:val="left"/>
        <w:textAlignment w:val="auto"/>
        <w:outlineLvl w:val="9"/>
        <w:rPr>
          <w:rFonts w:hint="eastAsia" w:ascii="宋体" w:hAnsi="宋体"/>
          <w:color w:val="000000"/>
          <w:sz w:val="24"/>
        </w:rPr>
      </w:pPr>
      <w:r>
        <w:rPr>
          <w:rFonts w:hint="eastAsia" w:ascii="宋体" w:hAnsi="宋体"/>
          <w:sz w:val="24"/>
          <w:lang w:val="en-US" w:eastAsia="zh-CN"/>
        </w:rPr>
        <w:t>每学年应交学分学费按学生修读学分计算</w:t>
      </w:r>
      <w:r>
        <w:rPr>
          <w:rFonts w:hint="eastAsia" w:ascii="宋体" w:hAnsi="宋体"/>
          <w:color w:val="000000"/>
          <w:sz w:val="24"/>
        </w:rPr>
        <w:t>。</w:t>
      </w:r>
      <w:r>
        <w:rPr>
          <w:rFonts w:hint="eastAsia" w:ascii="宋体" w:hAnsi="宋体"/>
          <w:color w:val="000000"/>
          <w:sz w:val="24"/>
          <w:lang w:eastAsia="zh-CN"/>
        </w:rPr>
        <w:t>修读学分</w:t>
      </w:r>
      <w:r>
        <w:rPr>
          <w:rFonts w:hint="eastAsia" w:ascii="宋体" w:hAnsi="宋体"/>
          <w:color w:val="000000"/>
          <w:sz w:val="24"/>
        </w:rPr>
        <w:t>超过</w:t>
      </w:r>
      <w:r>
        <w:rPr>
          <w:rFonts w:hint="eastAsia" w:ascii="宋体" w:hAnsi="宋体"/>
          <w:color w:val="000000"/>
          <w:sz w:val="24"/>
          <w:lang w:val="en-US" w:eastAsia="zh-CN"/>
        </w:rPr>
        <w:t>40学分的</w:t>
      </w:r>
      <w:r>
        <w:rPr>
          <w:rFonts w:hint="eastAsia" w:ascii="MS PGothic" w:hAnsi="MS PGothic" w:eastAsia="MS PGothic"/>
          <w:color w:val="000000"/>
          <w:sz w:val="24"/>
        </w:rPr>
        <w:t>，</w:t>
      </w:r>
      <w:r>
        <w:rPr>
          <w:rFonts w:hint="eastAsia" w:ascii="宋体" w:hAnsi="宋体"/>
          <w:color w:val="000000"/>
          <w:sz w:val="24"/>
          <w:lang w:eastAsia="zh-CN"/>
        </w:rPr>
        <w:t>补交差额部分</w:t>
      </w:r>
      <w:r>
        <w:rPr>
          <w:rFonts w:hint="eastAsia" w:ascii="MS PGothic" w:hAnsi="MS PGothic" w:eastAsia="MS PGothic"/>
          <w:color w:val="000000"/>
          <w:sz w:val="24"/>
        </w:rPr>
        <w:t>；</w:t>
      </w:r>
      <w:r>
        <w:rPr>
          <w:rFonts w:hint="eastAsia" w:ascii="宋体" w:hAnsi="宋体"/>
          <w:color w:val="000000"/>
          <w:sz w:val="24"/>
          <w:lang w:eastAsia="zh-CN"/>
        </w:rPr>
        <w:t>未达</w:t>
      </w:r>
      <w:r>
        <w:rPr>
          <w:rFonts w:hint="eastAsia" w:ascii="宋体" w:hAnsi="宋体"/>
          <w:color w:val="000000"/>
          <w:sz w:val="24"/>
          <w:lang w:val="en-US" w:eastAsia="zh-CN"/>
        </w:rPr>
        <w:t>40学分</w:t>
      </w:r>
      <w:r>
        <w:rPr>
          <w:rFonts w:hint="eastAsia" w:ascii="宋体" w:hAnsi="宋体"/>
          <w:color w:val="000000"/>
          <w:sz w:val="24"/>
        </w:rPr>
        <w:t>的</w:t>
      </w:r>
      <w:r>
        <w:rPr>
          <w:rFonts w:hint="eastAsia" w:ascii="MS PGothic" w:hAnsi="MS PGothic" w:eastAsia="MS PGothic"/>
          <w:color w:val="000000"/>
          <w:sz w:val="24"/>
        </w:rPr>
        <w:t>，</w:t>
      </w:r>
      <w:r>
        <w:rPr>
          <w:rFonts w:hint="eastAsia" w:ascii="MS PGothic" w:hAnsi="MS PGothic"/>
          <w:color w:val="000000"/>
          <w:sz w:val="24"/>
          <w:lang w:eastAsia="zh-CN"/>
        </w:rPr>
        <w:t>差额部分退还</w:t>
      </w:r>
      <w:r>
        <w:rPr>
          <w:rFonts w:hint="eastAsia" w:ascii="宋体" w:hAnsi="宋体"/>
          <w:color w:val="000000"/>
          <w:sz w:val="24"/>
        </w:rPr>
        <w:t>。</w:t>
      </w:r>
    </w:p>
    <w:p>
      <w:pPr>
        <w:widowControl w:val="0"/>
        <w:wordWrap/>
        <w:adjustRightInd/>
        <w:snapToGrid/>
        <w:spacing w:line="288" w:lineRule="auto"/>
        <w:ind w:left="0" w:leftChars="0" w:right="0" w:firstLine="480" w:firstLineChars="200"/>
        <w:jc w:val="left"/>
        <w:textAlignment w:val="auto"/>
        <w:outlineLvl w:val="9"/>
        <w:rPr>
          <w:rFonts w:hint="eastAsia" w:ascii="宋体" w:hAnsi="宋体"/>
          <w:color w:val="000000"/>
          <w:sz w:val="24"/>
          <w:lang w:eastAsia="zh-CN"/>
        </w:rPr>
      </w:pPr>
      <w:r>
        <w:rPr>
          <w:rFonts w:hint="eastAsia" w:ascii="宋体" w:hAnsi="宋体"/>
          <w:color w:val="000000"/>
          <w:sz w:val="24"/>
          <w:lang w:eastAsia="zh-CN"/>
        </w:rPr>
        <w:t>学生每学年应补（退）学分学费</w:t>
      </w:r>
      <w:r>
        <w:rPr>
          <w:rFonts w:hint="eastAsia" w:ascii="宋体" w:hAnsi="宋体"/>
          <w:color w:val="000000"/>
          <w:sz w:val="24"/>
          <w:lang w:val="en-US" w:eastAsia="zh-CN"/>
        </w:rPr>
        <w:t>=修读学分学费-3200元</w:t>
      </w:r>
      <w:r>
        <w:rPr>
          <w:rFonts w:hint="eastAsia" w:ascii="宋体" w:hAnsi="宋体"/>
          <w:color w:val="000000"/>
          <w:sz w:val="24"/>
          <w:lang w:eastAsia="zh-CN"/>
        </w:rPr>
        <w:t>。</w:t>
      </w:r>
    </w:p>
    <w:p>
      <w:pPr>
        <w:widowControl w:val="0"/>
        <w:numPr>
          <w:ilvl w:val="0"/>
          <w:numId w:val="1"/>
        </w:numPr>
        <w:wordWrap/>
        <w:adjustRightInd/>
        <w:snapToGrid/>
        <w:spacing w:line="288" w:lineRule="auto"/>
        <w:ind w:left="0" w:leftChars="0" w:right="0" w:firstLine="480" w:firstLineChars="200"/>
        <w:jc w:val="left"/>
        <w:textAlignment w:val="auto"/>
        <w:outlineLvl w:val="9"/>
        <w:rPr>
          <w:rFonts w:hint="eastAsia" w:ascii="宋体" w:hAnsi="宋体"/>
          <w:color w:val="000000"/>
          <w:sz w:val="24"/>
          <w:lang w:eastAsia="zh-CN"/>
        </w:rPr>
      </w:pPr>
      <w:r>
        <w:rPr>
          <w:rFonts w:hint="eastAsia" w:ascii="宋体" w:hAnsi="宋体"/>
          <w:color w:val="000000"/>
          <w:sz w:val="24"/>
          <w:lang w:eastAsia="zh-CN"/>
        </w:rPr>
        <w:t>本次统计范围</w:t>
      </w:r>
    </w:p>
    <w:p>
      <w:pPr>
        <w:widowControl w:val="0"/>
        <w:numPr>
          <w:numId w:val="0"/>
        </w:numPr>
        <w:wordWrap/>
        <w:adjustRightInd/>
        <w:snapToGrid/>
        <w:spacing w:line="288" w:lineRule="auto"/>
        <w:ind w:left="0" w:leftChars="0" w:right="0" w:firstLine="480" w:firstLineChars="200"/>
        <w:jc w:val="left"/>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本次结算统计范围为入校起——2014年春季学期学生修读课程产生的学分学费。其中2010年秋季学期——2013年春季学期重修学分学费已结算，本次不在重复统计。</w:t>
      </w:r>
    </w:p>
    <w:p>
      <w:pPr>
        <w:widowControl w:val="0"/>
        <w:numPr>
          <w:numId w:val="0"/>
        </w:numPr>
        <w:wordWrap/>
        <w:adjustRightInd/>
        <w:snapToGrid/>
        <w:spacing w:line="288" w:lineRule="auto"/>
        <w:ind w:left="0" w:leftChars="0" w:right="0" w:firstLine="480" w:firstLineChars="200"/>
        <w:jc w:val="left"/>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三、学生疑问和说明</w:t>
      </w:r>
    </w:p>
    <w:p>
      <w:pPr>
        <w:widowControl w:val="0"/>
        <w:wordWrap/>
        <w:adjustRightInd/>
        <w:snapToGrid/>
        <w:spacing w:line="288" w:lineRule="auto"/>
        <w:ind w:left="0" w:leftChars="0" w:right="0" w:firstLine="480" w:firstLineChars="200"/>
        <w:jc w:val="left"/>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1.开学已交学费，为什么还要补交学分学费。</w:t>
      </w:r>
    </w:p>
    <w:p>
      <w:pPr>
        <w:widowControl w:val="0"/>
        <w:wordWrap/>
        <w:adjustRightInd/>
        <w:snapToGrid/>
        <w:spacing w:line="288" w:lineRule="auto"/>
        <w:ind w:left="0" w:leftChars="0" w:right="0" w:firstLine="480" w:firstLineChars="200"/>
        <w:jc w:val="left"/>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学分学费根据学生课程修读总额每学年结算，多退少补，参考某同学统计情况：</w:t>
      </w:r>
    </w:p>
    <w:tbl>
      <w:tblPr>
        <w:tblStyle w:val="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修读学年</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预交学费总额（元）</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预交专业学费（元）</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预交学分学费（元）</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修读学分学费（元）</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其中重修学分学费（元）</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补交学分学费（元）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2011-2012</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4600</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1400</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3200</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4000</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0</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2012-2013</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4600</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1400</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3200</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4000</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0</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2013-2014</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4600</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1400</w:t>
            </w:r>
          </w:p>
        </w:tc>
        <w:tc>
          <w:tcPr>
            <w:tcW w:w="1217"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3200</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4040</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320</w:t>
            </w:r>
          </w:p>
        </w:tc>
        <w:tc>
          <w:tcPr>
            <w:tcW w:w="1218" w:type="dxa"/>
            <w:vAlign w:val="top"/>
          </w:tcPr>
          <w:p>
            <w:pPr>
              <w:spacing w:beforeLines="0" w:afterLines="0" w:line="274"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840</w:t>
            </w:r>
          </w:p>
        </w:tc>
      </w:tr>
    </w:tbl>
    <w:p>
      <w:pPr>
        <w:spacing w:beforeLines="0" w:afterLines="0" w:line="274" w:lineRule="exact"/>
        <w:jc w:val="left"/>
        <w:rPr>
          <w:rFonts w:hint="eastAsia" w:ascii="宋体" w:hAnsi="宋体"/>
          <w:color w:val="000000"/>
          <w:sz w:val="24"/>
          <w:lang w:val="en-US" w:eastAsia="zh-CN"/>
        </w:rPr>
      </w:pPr>
    </w:p>
    <w:p>
      <w:pPr>
        <w:widowControl w:val="0"/>
        <w:wordWrap/>
        <w:adjustRightInd/>
        <w:snapToGrid/>
        <w:spacing w:line="288" w:lineRule="auto"/>
        <w:ind w:left="0" w:leftChars="0" w:right="0" w:firstLine="480" w:firstLineChars="200"/>
        <w:jc w:val="left"/>
        <w:textAlignment w:val="auto"/>
        <w:outlineLvl w:val="9"/>
        <w:rPr>
          <w:rFonts w:hint="eastAsia"/>
          <w:sz w:val="24"/>
          <w:lang w:val="en-US" w:eastAsia="zh-CN"/>
        </w:rPr>
      </w:pPr>
      <w:r>
        <w:rPr>
          <w:rFonts w:hint="eastAsia"/>
          <w:sz w:val="24"/>
          <w:lang w:eastAsia="zh-CN"/>
        </w:rPr>
        <w:t>该同学自</w:t>
      </w:r>
      <w:r>
        <w:rPr>
          <w:rFonts w:hint="eastAsia"/>
          <w:sz w:val="24"/>
          <w:lang w:val="en-US" w:eastAsia="zh-CN"/>
        </w:rPr>
        <w:t>2011年秋季学期——2014年春季学期累计应补缴2440元学分学费，其中320元为重修学分学费。</w:t>
      </w:r>
    </w:p>
    <w:p>
      <w:pPr>
        <w:widowControl w:val="0"/>
        <w:wordWrap/>
        <w:adjustRightInd/>
        <w:snapToGrid/>
        <w:spacing w:line="288" w:lineRule="auto"/>
        <w:ind w:left="0" w:leftChars="0" w:right="0" w:firstLine="480" w:firstLineChars="200"/>
        <w:jc w:val="left"/>
        <w:textAlignment w:val="auto"/>
        <w:outlineLvl w:val="9"/>
        <w:rPr>
          <w:rFonts w:hint="eastAsia"/>
          <w:sz w:val="24"/>
          <w:lang w:val="en-US" w:eastAsia="zh-CN"/>
        </w:rPr>
      </w:pPr>
      <w:r>
        <w:rPr>
          <w:rFonts w:hint="eastAsia"/>
          <w:sz w:val="24"/>
          <w:lang w:val="en-US" w:eastAsia="zh-CN"/>
        </w:rPr>
        <w:t>该同学为毕业班学生，于2014年秋季学期——2015年春季学期（即大四）所修读课程学分尚未统计，如该同学大四所修课程学分为16学分，对应学分学费为1280元，应退费1920元。该同学从入校到毕业学分学费结算情况如下：</w:t>
      </w:r>
    </w:p>
    <w:p>
      <w:pPr>
        <w:spacing w:beforeLines="0" w:afterLines="0" w:line="227" w:lineRule="exact"/>
        <w:jc w:val="left"/>
        <w:rPr>
          <w:rFonts w:hint="eastAsia"/>
          <w:sz w:val="24"/>
          <w:lang w:val="en-US" w:eastAsia="zh-CN"/>
        </w:rPr>
      </w:pPr>
    </w:p>
    <w:tbl>
      <w:tblPr>
        <w:tblStyle w:val="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修读学年</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预交学费总额（元）</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预交专业学费（元）</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预交学分学费（元）</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修读学分学费（元）</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其中重修学分学费（元）</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补交学分学费（元）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2011-2012</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4600</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1400</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3200</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4000</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0</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2012-2013</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4600</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1400</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3200</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4080</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0</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2013-2014</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4600</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1400</w:t>
            </w:r>
          </w:p>
        </w:tc>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3200</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4000</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320</w:t>
            </w: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top"/>
          </w:tcPr>
          <w:p>
            <w:pPr>
              <w:spacing w:beforeLines="0" w:afterLines="0" w:line="274" w:lineRule="exact"/>
              <w:jc w:val="left"/>
              <w:rPr>
                <w:rFonts w:hint="eastAsia" w:ascii="宋体" w:hAnsi="宋体"/>
                <w:color w:val="FF0000"/>
                <w:sz w:val="24"/>
                <w:lang w:val="en-US" w:eastAsia="zh-CN"/>
              </w:rPr>
            </w:pPr>
            <w:r>
              <w:rPr>
                <w:rFonts w:hint="eastAsia" w:ascii="宋体" w:hAnsi="宋体"/>
                <w:color w:val="FF0000"/>
                <w:sz w:val="24"/>
                <w:lang w:val="en-US" w:eastAsia="zh-CN"/>
              </w:rPr>
              <w:t>2014-2015</w:t>
            </w:r>
          </w:p>
        </w:tc>
        <w:tc>
          <w:tcPr>
            <w:tcW w:w="1217" w:type="dxa"/>
            <w:vAlign w:val="top"/>
          </w:tcPr>
          <w:p>
            <w:pPr>
              <w:spacing w:beforeLines="0" w:afterLines="0" w:line="274" w:lineRule="exact"/>
              <w:jc w:val="left"/>
              <w:rPr>
                <w:rFonts w:hint="eastAsia" w:ascii="宋体" w:hAnsi="宋体"/>
                <w:color w:val="FF0000"/>
                <w:sz w:val="24"/>
                <w:lang w:val="en-US" w:eastAsia="zh-CN"/>
              </w:rPr>
            </w:pPr>
            <w:r>
              <w:rPr>
                <w:rFonts w:hint="eastAsia" w:ascii="宋体" w:hAnsi="宋体"/>
                <w:color w:val="FF0000"/>
                <w:sz w:val="24"/>
                <w:lang w:val="en-US" w:eastAsia="zh-CN"/>
              </w:rPr>
              <w:t>4600</w:t>
            </w:r>
          </w:p>
        </w:tc>
        <w:tc>
          <w:tcPr>
            <w:tcW w:w="1217" w:type="dxa"/>
            <w:vAlign w:val="top"/>
          </w:tcPr>
          <w:p>
            <w:pPr>
              <w:spacing w:beforeLines="0" w:afterLines="0" w:line="274" w:lineRule="exact"/>
              <w:jc w:val="left"/>
              <w:rPr>
                <w:rFonts w:hint="eastAsia" w:ascii="宋体" w:hAnsi="宋体"/>
                <w:color w:val="FF0000"/>
                <w:sz w:val="24"/>
                <w:lang w:val="en-US" w:eastAsia="zh-CN"/>
              </w:rPr>
            </w:pPr>
            <w:r>
              <w:rPr>
                <w:rFonts w:hint="eastAsia" w:ascii="宋体" w:hAnsi="宋体"/>
                <w:color w:val="FF0000"/>
                <w:sz w:val="24"/>
                <w:lang w:val="en-US" w:eastAsia="zh-CN"/>
              </w:rPr>
              <w:t>1400</w:t>
            </w:r>
          </w:p>
        </w:tc>
        <w:tc>
          <w:tcPr>
            <w:tcW w:w="1217" w:type="dxa"/>
            <w:vAlign w:val="top"/>
          </w:tcPr>
          <w:p>
            <w:pPr>
              <w:spacing w:beforeLines="0" w:afterLines="0" w:line="274" w:lineRule="exact"/>
              <w:jc w:val="left"/>
              <w:rPr>
                <w:rFonts w:hint="eastAsia" w:ascii="宋体" w:hAnsi="宋体"/>
                <w:color w:val="FF0000"/>
                <w:sz w:val="24"/>
                <w:lang w:val="en-US" w:eastAsia="zh-CN"/>
              </w:rPr>
            </w:pPr>
            <w:r>
              <w:rPr>
                <w:rFonts w:hint="eastAsia" w:ascii="宋体" w:hAnsi="宋体"/>
                <w:color w:val="FF0000"/>
                <w:sz w:val="24"/>
                <w:lang w:val="en-US" w:eastAsia="zh-CN"/>
              </w:rPr>
              <w:t>3200</w:t>
            </w:r>
          </w:p>
        </w:tc>
        <w:tc>
          <w:tcPr>
            <w:tcW w:w="1218" w:type="dxa"/>
            <w:vAlign w:val="top"/>
          </w:tcPr>
          <w:p>
            <w:pPr>
              <w:spacing w:beforeLines="0" w:afterLines="0" w:line="274" w:lineRule="exact"/>
              <w:jc w:val="left"/>
              <w:rPr>
                <w:rFonts w:hint="eastAsia" w:ascii="宋体" w:hAnsi="宋体"/>
                <w:color w:val="FF0000"/>
                <w:sz w:val="24"/>
                <w:lang w:val="en-US" w:eastAsia="zh-CN"/>
              </w:rPr>
            </w:pPr>
            <w:r>
              <w:rPr>
                <w:rFonts w:hint="eastAsia" w:ascii="宋体" w:hAnsi="宋体"/>
                <w:color w:val="FF0000"/>
                <w:sz w:val="24"/>
                <w:lang w:val="en-US" w:eastAsia="zh-CN"/>
              </w:rPr>
              <w:t>1280</w:t>
            </w:r>
          </w:p>
        </w:tc>
        <w:tc>
          <w:tcPr>
            <w:tcW w:w="1218" w:type="dxa"/>
            <w:vAlign w:val="top"/>
          </w:tcPr>
          <w:p>
            <w:pPr>
              <w:spacing w:beforeLines="0" w:afterLines="0" w:line="274" w:lineRule="exact"/>
              <w:jc w:val="left"/>
              <w:rPr>
                <w:rFonts w:hint="eastAsia" w:ascii="宋体" w:hAnsi="宋体"/>
                <w:color w:val="FF0000"/>
                <w:sz w:val="24"/>
                <w:lang w:val="en-US" w:eastAsia="zh-CN"/>
              </w:rPr>
            </w:pPr>
            <w:r>
              <w:rPr>
                <w:rFonts w:hint="eastAsia" w:ascii="宋体" w:hAnsi="宋体"/>
                <w:color w:val="FF0000"/>
                <w:sz w:val="24"/>
                <w:lang w:val="en-US" w:eastAsia="zh-CN"/>
              </w:rPr>
              <w:t>0</w:t>
            </w:r>
          </w:p>
        </w:tc>
        <w:tc>
          <w:tcPr>
            <w:tcW w:w="1218" w:type="dxa"/>
            <w:vAlign w:val="top"/>
          </w:tcPr>
          <w:p>
            <w:pPr>
              <w:spacing w:beforeLines="0" w:afterLines="0" w:line="274" w:lineRule="exact"/>
              <w:jc w:val="left"/>
              <w:rPr>
                <w:rFonts w:hint="eastAsia" w:ascii="宋体" w:hAnsi="宋体"/>
                <w:color w:val="FF0000"/>
                <w:sz w:val="24"/>
                <w:lang w:val="en-US" w:eastAsia="zh-CN"/>
              </w:rPr>
            </w:pPr>
            <w:r>
              <w:rPr>
                <w:rFonts w:hint="eastAsia" w:ascii="宋体" w:hAnsi="宋体"/>
                <w:color w:val="FF0000"/>
                <w:sz w:val="24"/>
                <w:lang w:val="en-US" w:eastAsia="zh-CN"/>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总计</w:t>
            </w:r>
          </w:p>
        </w:tc>
        <w:tc>
          <w:tcPr>
            <w:tcW w:w="1217" w:type="dxa"/>
            <w:vAlign w:val="top"/>
          </w:tcPr>
          <w:p>
            <w:pPr>
              <w:spacing w:beforeLines="0" w:afterLines="0" w:line="274" w:lineRule="exact"/>
              <w:jc w:val="left"/>
              <w:rPr>
                <w:rFonts w:hint="eastAsia" w:ascii="宋体" w:hAnsi="宋体"/>
                <w:color w:val="000000"/>
                <w:sz w:val="24"/>
                <w:lang w:val="en-US" w:eastAsia="zh-CN"/>
              </w:rPr>
            </w:pPr>
          </w:p>
        </w:tc>
        <w:tc>
          <w:tcPr>
            <w:tcW w:w="1217" w:type="dxa"/>
            <w:vAlign w:val="top"/>
          </w:tcPr>
          <w:p>
            <w:pPr>
              <w:spacing w:beforeLines="0" w:afterLines="0" w:line="274" w:lineRule="exact"/>
              <w:jc w:val="left"/>
              <w:rPr>
                <w:rFonts w:hint="eastAsia" w:ascii="宋体" w:hAnsi="宋体"/>
                <w:color w:val="000000"/>
                <w:sz w:val="24"/>
                <w:lang w:val="en-US" w:eastAsia="zh-CN"/>
              </w:rPr>
            </w:pPr>
          </w:p>
        </w:tc>
        <w:tc>
          <w:tcPr>
            <w:tcW w:w="1217" w:type="dxa"/>
            <w:vAlign w:val="top"/>
          </w:tcPr>
          <w:p>
            <w:pPr>
              <w:spacing w:beforeLines="0" w:afterLines="0" w:line="274" w:lineRule="exact"/>
              <w:jc w:val="left"/>
              <w:rPr>
                <w:rFonts w:hint="eastAsia" w:ascii="宋体" w:hAnsi="宋体"/>
                <w:color w:val="000000"/>
                <w:sz w:val="24"/>
                <w:lang w:val="en-US" w:eastAsia="zh-CN"/>
              </w:rPr>
            </w:pP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13360</w:t>
            </w:r>
          </w:p>
        </w:tc>
        <w:tc>
          <w:tcPr>
            <w:tcW w:w="1218" w:type="dxa"/>
            <w:vAlign w:val="top"/>
          </w:tcPr>
          <w:p>
            <w:pPr>
              <w:spacing w:beforeLines="0" w:afterLines="0" w:line="274" w:lineRule="exact"/>
              <w:jc w:val="left"/>
              <w:rPr>
                <w:rFonts w:hint="eastAsia" w:ascii="宋体" w:hAnsi="宋体"/>
                <w:color w:val="000000"/>
                <w:sz w:val="24"/>
                <w:lang w:val="en-US" w:eastAsia="zh-CN"/>
              </w:rPr>
            </w:pPr>
          </w:p>
        </w:tc>
        <w:tc>
          <w:tcPr>
            <w:tcW w:w="1218" w:type="dxa"/>
            <w:vAlign w:val="top"/>
          </w:tcPr>
          <w:p>
            <w:pPr>
              <w:spacing w:beforeLines="0" w:afterLines="0" w:line="274" w:lineRule="exact"/>
              <w:jc w:val="left"/>
              <w:rPr>
                <w:rFonts w:hint="eastAsia" w:ascii="宋体" w:hAnsi="宋体"/>
                <w:color w:val="000000"/>
                <w:sz w:val="24"/>
                <w:lang w:val="en-US" w:eastAsia="zh-CN"/>
              </w:rPr>
            </w:pPr>
            <w:r>
              <w:rPr>
                <w:rFonts w:hint="eastAsia" w:ascii="宋体" w:hAnsi="宋体"/>
                <w:color w:val="000000"/>
                <w:sz w:val="24"/>
                <w:lang w:val="en-US" w:eastAsia="zh-CN"/>
              </w:rPr>
              <w:t>560</w:t>
            </w:r>
          </w:p>
        </w:tc>
      </w:tr>
    </w:tbl>
    <w:p>
      <w:pPr>
        <w:overflowPunct w:val="0"/>
        <w:spacing w:beforeLines="0" w:afterLines="0" w:line="392" w:lineRule="exact"/>
        <w:ind w:left="480"/>
        <w:jc w:val="left"/>
        <w:rPr>
          <w:rFonts w:hint="eastAsia" w:ascii="宋体" w:hAnsi="宋体"/>
          <w:color w:val="000000"/>
          <w:sz w:val="24"/>
          <w:lang w:val="en-US" w:eastAsia="zh-CN"/>
        </w:rPr>
      </w:pPr>
    </w:p>
    <w:p>
      <w:pPr>
        <w:widowControl w:val="0"/>
        <w:wordWrap/>
        <w:overflowPunct w:val="0"/>
        <w:adjustRightInd/>
        <w:snapToGrid/>
        <w:spacing w:beforeLines="0" w:afterLines="0" w:line="288" w:lineRule="auto"/>
        <w:ind w:left="0" w:leftChars="0" w:right="0" w:firstLine="480" w:firstLineChars="200"/>
        <w:jc w:val="left"/>
        <w:textAlignment w:val="auto"/>
        <w:outlineLvl w:val="9"/>
        <w:rPr>
          <w:rFonts w:hint="eastAsia" w:ascii="宋体" w:hAnsi="宋体"/>
          <w:color w:val="0000FF"/>
          <w:sz w:val="24"/>
          <w:lang w:val="en-US" w:eastAsia="zh-CN"/>
        </w:rPr>
      </w:pPr>
      <w:r>
        <w:rPr>
          <w:rFonts w:hint="eastAsia" w:ascii="宋体" w:hAnsi="宋体"/>
          <w:color w:val="000000"/>
          <w:sz w:val="24"/>
          <w:lang w:val="en-US" w:eastAsia="zh-CN"/>
        </w:rPr>
        <w:t>可以看出该同学四年共需交学分学费13360元（167学分），（其中重修学分学费320元、4学分），比培养方案规定最低要求160学分多7学分，合计补交560元学分学费。</w:t>
      </w:r>
      <w:r>
        <w:rPr>
          <w:rFonts w:hint="eastAsia" w:ascii="宋体" w:hAnsi="宋体"/>
          <w:color w:val="0000FF"/>
          <w:sz w:val="24"/>
          <w:lang w:val="en-US" w:eastAsia="zh-CN"/>
        </w:rPr>
        <w:t>如该同学无重修且只修读了满足培养方案最低要求的160学分，那么最终合计补交学分学费为0元。</w:t>
      </w:r>
    </w:p>
    <w:p>
      <w:pPr>
        <w:widowControl w:val="0"/>
        <w:wordWrap/>
        <w:overflowPunct w:val="0"/>
        <w:adjustRightInd/>
        <w:snapToGrid/>
        <w:spacing w:beforeLines="0" w:afterLines="0" w:line="288" w:lineRule="auto"/>
        <w:ind w:left="0" w:leftChars="0" w:right="0" w:firstLine="480" w:firstLineChars="200"/>
        <w:jc w:val="left"/>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2.2014-2015学年学分学费什么时间结算，已交重修学分学费是否会重修统计。</w:t>
      </w:r>
    </w:p>
    <w:p>
      <w:pPr>
        <w:widowControl w:val="0"/>
        <w:wordWrap/>
        <w:overflowPunct w:val="0"/>
        <w:adjustRightInd/>
        <w:snapToGrid/>
        <w:spacing w:beforeLines="0" w:afterLines="0" w:line="288" w:lineRule="auto"/>
        <w:ind w:left="0" w:leftChars="0" w:right="0" w:firstLine="480" w:firstLineChars="200"/>
        <w:jc w:val="left"/>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2014—2015学年学分学费将于4月底开始统计核对，毕业班学生将根据5月份重修考试数据于5月底前统一结清，其他年级学生根据结算额度于9月份开学连同预交学费一起收取（修读学分学费低于学年预交学分学费开学时冲抵到预交）。</w:t>
      </w:r>
    </w:p>
    <w:p>
      <w:pPr>
        <w:widowControl w:val="0"/>
        <w:numPr>
          <w:numId w:val="0"/>
        </w:numPr>
        <w:wordWrap/>
        <w:overflowPunct w:val="0"/>
        <w:adjustRightInd/>
        <w:snapToGrid/>
        <w:spacing w:beforeLines="0" w:afterLines="0" w:line="288" w:lineRule="auto"/>
        <w:ind w:left="0" w:leftChars="0" w:right="0" w:firstLine="480" w:firstLineChars="200"/>
        <w:jc w:val="left"/>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2014年秋季学期（上学期）重修学分学费已收取，2015年春季学期（本学期）重修学分学费将于4月份统一收取，届时不会重复计入。</w:t>
      </w:r>
    </w:p>
    <w:p>
      <w:pPr>
        <w:widowControl w:val="0"/>
        <w:numPr>
          <w:numId w:val="0"/>
        </w:numPr>
        <w:wordWrap/>
        <w:overflowPunct w:val="0"/>
        <w:adjustRightInd/>
        <w:snapToGrid/>
        <w:spacing w:beforeLines="0" w:afterLines="0" w:line="288" w:lineRule="auto"/>
        <w:ind w:left="0" w:leftChars="0" w:right="0" w:firstLine="480" w:firstLineChars="200"/>
        <w:jc w:val="left"/>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3.在核对学分学费的统计时需要注意哪些事项。</w:t>
      </w:r>
    </w:p>
    <w:p>
      <w:pPr>
        <w:widowControl w:val="0"/>
        <w:numPr>
          <w:numId w:val="0"/>
        </w:numPr>
        <w:wordWrap/>
        <w:overflowPunct w:val="0"/>
        <w:adjustRightInd/>
        <w:snapToGrid/>
        <w:spacing w:beforeLines="0" w:afterLines="0" w:line="288" w:lineRule="auto"/>
        <w:ind w:left="0" w:leftChars="0" w:right="0" w:firstLine="480" w:firstLineChars="200"/>
        <w:jc w:val="left"/>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3.1 转专业同学</w:t>
      </w:r>
      <w:bookmarkStart w:id="0" w:name="_GoBack"/>
      <w:bookmarkEnd w:id="0"/>
      <w:r>
        <w:rPr>
          <w:rFonts w:hint="eastAsia" w:ascii="宋体" w:hAnsi="宋体"/>
          <w:color w:val="000000"/>
          <w:sz w:val="24"/>
          <w:lang w:val="en-US" w:eastAsia="zh-CN"/>
        </w:rPr>
        <w:t>转专业前后的专业学费是否与本人实际情况一致。工学院转入卫岗学生由于转专业前预交学费已在工学院缴纳，无法获取原专业的专业学费，重点核查修读学分学费与预交学分学费的差额。</w:t>
      </w:r>
    </w:p>
    <w:p>
      <w:pPr>
        <w:widowControl w:val="0"/>
        <w:numPr>
          <w:numId w:val="0"/>
        </w:numPr>
        <w:wordWrap/>
        <w:overflowPunct w:val="0"/>
        <w:adjustRightInd/>
        <w:snapToGrid/>
        <w:spacing w:beforeLines="0" w:afterLines="0" w:line="288" w:lineRule="auto"/>
        <w:ind w:left="0" w:leftChars="0" w:right="0" w:firstLine="480" w:firstLineChars="200"/>
        <w:jc w:val="left"/>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3.2 休学复学同学由于休学复学时间节点均不一致，需注意休学学年学分学费及总体的专业学费是否与本人实际情况一致。</w:t>
      </w:r>
    </w:p>
    <w:p>
      <w:pPr>
        <w:widowControl w:val="0"/>
        <w:numPr>
          <w:numId w:val="0"/>
        </w:numPr>
        <w:wordWrap/>
        <w:overflowPunct w:val="0"/>
        <w:adjustRightInd/>
        <w:snapToGrid/>
        <w:spacing w:beforeLines="0" w:afterLines="0" w:line="288" w:lineRule="auto"/>
        <w:ind w:left="0" w:leftChars="0" w:right="0" w:firstLine="480" w:firstLineChars="200"/>
        <w:jc w:val="left"/>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3.3 学生应核查详细修读数据与本人修读情况、课程修读方式是否完全一致。</w:t>
      </w:r>
    </w:p>
    <w:p>
      <w:pPr>
        <w:widowControl w:val="0"/>
        <w:wordWrap/>
        <w:adjustRightInd/>
        <w:snapToGrid/>
        <w:spacing w:line="288" w:lineRule="auto"/>
        <w:ind w:left="0" w:leftChars="0" w:right="0" w:firstLine="480" w:firstLineChars="200"/>
        <w:textAlignment w:val="auto"/>
        <w:outlineLvl w:val="9"/>
        <w:rPr>
          <w:rFonts w:hint="eastAsia" w:eastAsia="宋体"/>
          <w:lang w:val="en-US" w:eastAsia="zh-CN"/>
        </w:rPr>
      </w:pPr>
      <w:r>
        <w:rPr>
          <w:rFonts w:hint="eastAsia" w:ascii="宋体" w:hAnsi="宋体"/>
          <w:color w:val="000000"/>
          <w:sz w:val="24"/>
          <w:lang w:val="en-US" w:eastAsia="zh-CN"/>
        </w:rPr>
        <w:t>3.4如有疑问，与教务处教学网络与信息科联系，地址：行政北楼D308，电话：84399781。</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9060421">
    <w:nsid w:val="552DBB45"/>
    <w:multiLevelType w:val="singleLevel"/>
    <w:tmpl w:val="552DBB45"/>
    <w:lvl w:ilvl="0" w:tentative="1">
      <w:start w:val="2"/>
      <w:numFmt w:val="chineseCounting"/>
      <w:suff w:val="nothing"/>
      <w:lvlText w:val="%1、"/>
      <w:lvlJc w:val="left"/>
    </w:lvl>
  </w:abstractNum>
  <w:num w:numId="1">
    <w:abstractNumId w:val="14290604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60F0E"/>
    <w:rsid w:val="0001121D"/>
    <w:rsid w:val="00043ACF"/>
    <w:rsid w:val="00460F0E"/>
    <w:rsid w:val="00652772"/>
    <w:rsid w:val="066E2C1A"/>
    <w:rsid w:val="175C4A0D"/>
    <w:rsid w:val="24A216A6"/>
    <w:rsid w:val="31DA3958"/>
    <w:rsid w:val="4D1B6B8E"/>
    <w:rsid w:val="73FC050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Style w:val="4"/>
      <w:tblLayout w:type="fixed"/>
      <w:tblCellMar>
        <w:top w:w="0" w:type="dxa"/>
        <w:left w:w="108" w:type="dxa"/>
        <w:bottom w:w="0" w:type="dxa"/>
        <w:right w:w="108" w:type="dxa"/>
      </w:tblCellMar>
    </w:tblPr>
    <w:tcPr>
      <w:textDirection w:val="lrTb"/>
    </w:tcPr>
  </w:style>
  <w:style w:type="paragraph" w:styleId="2">
    <w:name w:val="Balloon Text"/>
    <w:basedOn w:val="1"/>
    <w:link w:val="6"/>
    <w:unhideWhenUsed/>
    <w:uiPriority w:val="99"/>
    <w:rPr>
      <w:sz w:val="18"/>
      <w:szCs w:val="18"/>
    </w:rPr>
  </w:style>
  <w:style w:type="table" w:styleId="5">
    <w:name w:val="Table Grid"/>
    <w:basedOn w:val="4"/>
    <w:uiPriority w:val="39"/>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6">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42</Words>
  <Characters>242</Characters>
  <Lines>2</Lines>
  <Paragraphs>1</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2015-04-14T08:09:00Z</dcterms:created>
  <dc:creator>lenovo</dc:creator>
  <cp:lastModifiedBy>Dell</cp:lastModifiedBy>
  <cp:lastPrinted>2015-04-14T08:17:00Z</cp:lastPrinted>
  <dcterms:modified xsi:type="dcterms:W3CDTF">2015-04-15T03:19:55Z</dcterms:modified>
  <dc:title>学分学费核查及收费的补充说明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